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27" w:rsidRPr="00F44352" w:rsidRDefault="007E5527" w:rsidP="007E55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5527" w:rsidRPr="00F44352" w:rsidRDefault="007E5527" w:rsidP="007E55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352">
        <w:rPr>
          <w:rFonts w:ascii="Arial" w:hAnsi="Arial" w:cs="Arial"/>
          <w:b/>
          <w:sz w:val="24"/>
          <w:szCs w:val="24"/>
        </w:rPr>
        <w:t xml:space="preserve">Solucionario Ciencias Naturales </w:t>
      </w:r>
    </w:p>
    <w:p w:rsidR="00B11442" w:rsidRPr="00F44352" w:rsidRDefault="007E5527" w:rsidP="007E55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4352">
        <w:rPr>
          <w:rFonts w:ascii="Arial" w:hAnsi="Arial" w:cs="Arial"/>
          <w:b/>
          <w:sz w:val="24"/>
          <w:szCs w:val="24"/>
        </w:rPr>
        <w:t xml:space="preserve"> 5° básico</w:t>
      </w:r>
    </w:p>
    <w:p w:rsidR="007E5527" w:rsidRDefault="007E5527" w:rsidP="007E55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527" w:rsidRPr="00F44352" w:rsidRDefault="007E5527" w:rsidP="00F443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44352">
        <w:rPr>
          <w:rFonts w:ascii="Arial" w:hAnsi="Arial" w:cs="Arial"/>
          <w:b/>
          <w:sz w:val="24"/>
          <w:szCs w:val="24"/>
          <w:u w:val="single"/>
        </w:rPr>
        <w:t>Guía 1:</w:t>
      </w:r>
    </w:p>
    <w:p w:rsidR="007E5527" w:rsidRDefault="007E5527" w:rsidP="007E5527">
      <w:pPr>
        <w:spacing w:after="0" w:line="240" w:lineRule="auto"/>
        <w:rPr>
          <w:b/>
          <w:noProof/>
          <w:sz w:val="24"/>
          <w:szCs w:val="24"/>
          <w:lang w:eastAsia="es-CL"/>
        </w:rPr>
      </w:pPr>
      <w:r w:rsidRPr="00066080">
        <w:rPr>
          <w:b/>
          <w:noProof/>
          <w:sz w:val="24"/>
          <w:szCs w:val="24"/>
          <w:lang w:eastAsia="es-CL"/>
        </w:rPr>
        <w:t>Contenedores para sólidos, liquidos y gases.</w:t>
      </w:r>
    </w:p>
    <w:p w:rsidR="007E5527" w:rsidRDefault="007E5527" w:rsidP="007E5527">
      <w:pPr>
        <w:rPr>
          <w:noProof/>
          <w:sz w:val="24"/>
          <w:szCs w:val="24"/>
          <w:lang w:eastAsia="es-CL"/>
        </w:rPr>
      </w:pPr>
      <w:r w:rsidRPr="00517C88">
        <w:rPr>
          <w:noProof/>
          <w:sz w:val="24"/>
          <w:szCs w:val="24"/>
          <w:lang w:eastAsia="es-CL"/>
        </w:rPr>
        <w:t xml:space="preserve">1.- </w:t>
      </w:r>
      <w:r>
        <w:rPr>
          <w:noProof/>
          <w:sz w:val="24"/>
          <w:szCs w:val="24"/>
          <w:lang w:eastAsia="es-CL"/>
        </w:rPr>
        <w:t>Observa y si consideras que el contenedor es adecuado para contener un Solido (S), Líquido (L), Gaseoso(G)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799"/>
        <w:gridCol w:w="799"/>
      </w:tblGrid>
      <w:tr w:rsidR="007E5527" w:rsidTr="007E5527">
        <w:trPr>
          <w:trHeight w:val="582"/>
          <w:jc w:val="center"/>
        </w:trPr>
        <w:tc>
          <w:tcPr>
            <w:tcW w:w="799" w:type="dxa"/>
          </w:tcPr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799" w:type="dxa"/>
          </w:tcPr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799" w:type="dxa"/>
          </w:tcPr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G</w:t>
            </w:r>
          </w:p>
        </w:tc>
      </w:tr>
      <w:tr w:rsidR="007E5527" w:rsidTr="007E5527">
        <w:trPr>
          <w:trHeight w:val="582"/>
          <w:jc w:val="center"/>
        </w:trPr>
        <w:tc>
          <w:tcPr>
            <w:tcW w:w="799" w:type="dxa"/>
          </w:tcPr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L</w:t>
            </w:r>
          </w:p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799" w:type="dxa"/>
          </w:tcPr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799" w:type="dxa"/>
          </w:tcPr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L</w:t>
            </w:r>
          </w:p>
        </w:tc>
      </w:tr>
      <w:tr w:rsidR="007E5527" w:rsidTr="007E5527">
        <w:trPr>
          <w:trHeight w:val="595"/>
          <w:jc w:val="center"/>
        </w:trPr>
        <w:tc>
          <w:tcPr>
            <w:tcW w:w="799" w:type="dxa"/>
          </w:tcPr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S</w:t>
            </w:r>
          </w:p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799" w:type="dxa"/>
          </w:tcPr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799" w:type="dxa"/>
          </w:tcPr>
          <w:p w:rsidR="007E5527" w:rsidRDefault="007E5527" w:rsidP="007E5527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G</w:t>
            </w:r>
          </w:p>
        </w:tc>
        <w:bookmarkStart w:id="0" w:name="_GoBack"/>
        <w:bookmarkEnd w:id="0"/>
      </w:tr>
    </w:tbl>
    <w:p w:rsidR="007E5527" w:rsidRDefault="007E5527" w:rsidP="007E5527">
      <w:pPr>
        <w:spacing w:after="0" w:line="240" w:lineRule="auto"/>
        <w:rPr>
          <w:sz w:val="24"/>
          <w:szCs w:val="24"/>
        </w:rPr>
      </w:pPr>
    </w:p>
    <w:p w:rsidR="007E5527" w:rsidRDefault="007E5527" w:rsidP="007E5527">
      <w:pPr>
        <w:spacing w:after="0" w:line="240" w:lineRule="auto"/>
        <w:rPr>
          <w:sz w:val="24"/>
          <w:szCs w:val="24"/>
        </w:rPr>
      </w:pPr>
      <w:r w:rsidRPr="00066080">
        <w:rPr>
          <w:sz w:val="24"/>
          <w:szCs w:val="24"/>
        </w:rPr>
        <w:t>2.- Lee los siguientes text</w:t>
      </w:r>
      <w:r>
        <w:rPr>
          <w:sz w:val="24"/>
          <w:szCs w:val="24"/>
        </w:rPr>
        <w:t>os y anótalos donde corresponda.</w:t>
      </w:r>
    </w:p>
    <w:p w:rsidR="00A064BE" w:rsidRDefault="00A064BE" w:rsidP="007E5527">
      <w:pPr>
        <w:spacing w:after="0" w:line="240" w:lineRule="auto"/>
        <w:rPr>
          <w:sz w:val="24"/>
          <w:szCs w:val="24"/>
        </w:rPr>
      </w:pPr>
    </w:p>
    <w:p w:rsidR="00A064BE" w:rsidRPr="007E5527" w:rsidRDefault="00A064BE" w:rsidP="007E55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EFA2D8A" wp14:editId="5EB2077C">
            <wp:extent cx="6210935" cy="100463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002" t="54789" r="31830" b="32789"/>
                    <a:stretch/>
                  </pic:blipFill>
                  <pic:spPr bwMode="auto">
                    <a:xfrm>
                      <a:off x="0" y="0"/>
                      <a:ext cx="6210935" cy="100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527" w:rsidRDefault="007E5527" w:rsidP="007E55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3C2433" w:rsidRPr="003C2433" w:rsidTr="007E5527">
        <w:tc>
          <w:tcPr>
            <w:tcW w:w="2480" w:type="dxa"/>
          </w:tcPr>
          <w:p w:rsidR="007E5527" w:rsidRPr="003C2433" w:rsidRDefault="007E5527" w:rsidP="007E5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7E5527" w:rsidRPr="003C2433" w:rsidRDefault="007E5527" w:rsidP="007E5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Sólidos</w:t>
            </w:r>
          </w:p>
        </w:tc>
        <w:tc>
          <w:tcPr>
            <w:tcW w:w="2480" w:type="dxa"/>
          </w:tcPr>
          <w:p w:rsidR="007E5527" w:rsidRPr="003C2433" w:rsidRDefault="007E5527" w:rsidP="007E5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Líquidos</w:t>
            </w:r>
          </w:p>
        </w:tc>
        <w:tc>
          <w:tcPr>
            <w:tcW w:w="2481" w:type="dxa"/>
          </w:tcPr>
          <w:p w:rsidR="007E5527" w:rsidRPr="003C2433" w:rsidRDefault="007E5527" w:rsidP="007E5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Gases</w:t>
            </w:r>
          </w:p>
        </w:tc>
      </w:tr>
      <w:tr w:rsidR="003C2433" w:rsidRPr="003C2433" w:rsidTr="007E5527">
        <w:tc>
          <w:tcPr>
            <w:tcW w:w="2480" w:type="dxa"/>
          </w:tcPr>
          <w:p w:rsidR="007E5527" w:rsidRPr="003C2433" w:rsidRDefault="007E5527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 xml:space="preserve">Forman </w:t>
            </w:r>
          </w:p>
        </w:tc>
        <w:tc>
          <w:tcPr>
            <w:tcW w:w="2480" w:type="dxa"/>
          </w:tcPr>
          <w:p w:rsidR="007E5527" w:rsidRPr="003C2433" w:rsidRDefault="00A064BE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Forma constante</w:t>
            </w:r>
          </w:p>
          <w:p w:rsidR="007E5527" w:rsidRPr="003C2433" w:rsidRDefault="007E5527" w:rsidP="007E5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7E5527" w:rsidRPr="003C2433" w:rsidRDefault="00A064BE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Forma variable</w:t>
            </w:r>
          </w:p>
        </w:tc>
        <w:tc>
          <w:tcPr>
            <w:tcW w:w="2481" w:type="dxa"/>
          </w:tcPr>
          <w:p w:rsidR="007E5527" w:rsidRPr="003C2433" w:rsidRDefault="003C2433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Forma variable</w:t>
            </w:r>
          </w:p>
        </w:tc>
      </w:tr>
      <w:tr w:rsidR="003C2433" w:rsidRPr="003C2433" w:rsidTr="007E5527">
        <w:tc>
          <w:tcPr>
            <w:tcW w:w="2480" w:type="dxa"/>
          </w:tcPr>
          <w:p w:rsidR="007E5527" w:rsidRPr="003C2433" w:rsidRDefault="007E5527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Volumen</w:t>
            </w:r>
          </w:p>
        </w:tc>
        <w:tc>
          <w:tcPr>
            <w:tcW w:w="2480" w:type="dxa"/>
          </w:tcPr>
          <w:p w:rsidR="007E5527" w:rsidRPr="003C2433" w:rsidRDefault="00A064BE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Volumen constante</w:t>
            </w:r>
          </w:p>
          <w:p w:rsidR="007E5527" w:rsidRPr="003C2433" w:rsidRDefault="007E5527" w:rsidP="007E5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A064BE" w:rsidRPr="003C2433" w:rsidRDefault="00A064BE" w:rsidP="00A064BE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Volumen constante</w:t>
            </w:r>
          </w:p>
          <w:p w:rsidR="007E5527" w:rsidRPr="003C2433" w:rsidRDefault="007E5527" w:rsidP="007E55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064BE" w:rsidRPr="003C2433" w:rsidRDefault="00A064BE" w:rsidP="00A064BE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Volumen variable</w:t>
            </w:r>
          </w:p>
          <w:p w:rsidR="007E5527" w:rsidRPr="003C2433" w:rsidRDefault="007E5527" w:rsidP="007E5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433" w:rsidRPr="003C2433" w:rsidTr="007E5527">
        <w:tc>
          <w:tcPr>
            <w:tcW w:w="2480" w:type="dxa"/>
          </w:tcPr>
          <w:p w:rsidR="007E5527" w:rsidRPr="003C2433" w:rsidRDefault="007E5527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Capacidad para expandirse</w:t>
            </w:r>
          </w:p>
        </w:tc>
        <w:tc>
          <w:tcPr>
            <w:tcW w:w="2480" w:type="dxa"/>
          </w:tcPr>
          <w:p w:rsidR="007E5527" w:rsidRPr="003C2433" w:rsidRDefault="00A064BE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No se expanden</w:t>
            </w:r>
          </w:p>
        </w:tc>
        <w:tc>
          <w:tcPr>
            <w:tcW w:w="2480" w:type="dxa"/>
          </w:tcPr>
          <w:p w:rsidR="007E5527" w:rsidRPr="003C2433" w:rsidRDefault="00A064BE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No se expanden</w:t>
            </w:r>
          </w:p>
        </w:tc>
        <w:tc>
          <w:tcPr>
            <w:tcW w:w="2481" w:type="dxa"/>
          </w:tcPr>
          <w:p w:rsidR="007E5527" w:rsidRPr="003C2433" w:rsidRDefault="00A064BE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Sí se expanden</w:t>
            </w:r>
          </w:p>
        </w:tc>
      </w:tr>
      <w:tr w:rsidR="003C2433" w:rsidRPr="003C2433" w:rsidTr="007E5527">
        <w:tc>
          <w:tcPr>
            <w:tcW w:w="2480" w:type="dxa"/>
          </w:tcPr>
          <w:p w:rsidR="007E5527" w:rsidRPr="003C2433" w:rsidRDefault="007E5527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Capacidad para comprimirse</w:t>
            </w:r>
          </w:p>
        </w:tc>
        <w:tc>
          <w:tcPr>
            <w:tcW w:w="2480" w:type="dxa"/>
          </w:tcPr>
          <w:p w:rsidR="007E5527" w:rsidRPr="003C2433" w:rsidRDefault="00A064BE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No se pueden comprimir</w:t>
            </w:r>
          </w:p>
        </w:tc>
        <w:tc>
          <w:tcPr>
            <w:tcW w:w="2480" w:type="dxa"/>
          </w:tcPr>
          <w:p w:rsidR="007E5527" w:rsidRPr="003C2433" w:rsidRDefault="00A064BE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No se pueden comprimir</w:t>
            </w:r>
          </w:p>
        </w:tc>
        <w:tc>
          <w:tcPr>
            <w:tcW w:w="2481" w:type="dxa"/>
          </w:tcPr>
          <w:p w:rsidR="007E5527" w:rsidRPr="003C2433" w:rsidRDefault="00A064BE" w:rsidP="007E5527">
            <w:pPr>
              <w:rPr>
                <w:rFonts w:ascii="Arial" w:hAnsi="Arial" w:cs="Arial"/>
                <w:sz w:val="24"/>
                <w:szCs w:val="24"/>
              </w:rPr>
            </w:pPr>
            <w:r w:rsidRPr="003C2433">
              <w:rPr>
                <w:rFonts w:ascii="Arial" w:hAnsi="Arial" w:cs="Arial"/>
                <w:sz w:val="24"/>
                <w:szCs w:val="24"/>
              </w:rPr>
              <w:t>Sí pueden comprimirse</w:t>
            </w:r>
          </w:p>
        </w:tc>
      </w:tr>
    </w:tbl>
    <w:p w:rsidR="007E5527" w:rsidRPr="007E5527" w:rsidRDefault="007E5527" w:rsidP="007E55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527" w:rsidRPr="007E5527" w:rsidRDefault="007E5527" w:rsidP="007E55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527" w:rsidRPr="00F44352" w:rsidRDefault="007E5527" w:rsidP="00F4435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44352">
        <w:rPr>
          <w:rFonts w:ascii="Arial" w:hAnsi="Arial" w:cs="Arial"/>
          <w:b/>
          <w:sz w:val="24"/>
          <w:szCs w:val="24"/>
          <w:u w:val="single"/>
        </w:rPr>
        <w:t>Guía 2</w:t>
      </w:r>
      <w:r w:rsidR="008F0D28" w:rsidRPr="00F44352">
        <w:rPr>
          <w:rFonts w:ascii="Arial" w:hAnsi="Arial" w:cs="Arial"/>
          <w:b/>
          <w:sz w:val="24"/>
          <w:szCs w:val="24"/>
          <w:u w:val="single"/>
        </w:rPr>
        <w:t>:</w:t>
      </w:r>
    </w:p>
    <w:p w:rsidR="008F0D28" w:rsidRDefault="008F0D28" w:rsidP="007E55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D28" w:rsidRDefault="008F0D28" w:rsidP="007E55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Respuestas variadas.</w:t>
      </w:r>
    </w:p>
    <w:p w:rsidR="008F0D28" w:rsidRPr="007E5527" w:rsidRDefault="008F0D28" w:rsidP="007E55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Cordillera Nevada, Glaciar, </w:t>
      </w:r>
      <w:r w:rsidR="003639C1">
        <w:rPr>
          <w:rFonts w:ascii="Arial" w:hAnsi="Arial" w:cs="Arial"/>
          <w:sz w:val="24"/>
          <w:szCs w:val="24"/>
        </w:rPr>
        <w:t>Rí</w:t>
      </w:r>
      <w:r>
        <w:rPr>
          <w:rFonts w:ascii="Arial" w:hAnsi="Arial" w:cs="Arial"/>
          <w:sz w:val="24"/>
          <w:szCs w:val="24"/>
        </w:rPr>
        <w:t>o, Lago.</w:t>
      </w:r>
    </w:p>
    <w:sectPr w:rsidR="008F0D28" w:rsidRPr="007E5527" w:rsidSect="007E5527">
      <w:head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3D" w:rsidRDefault="00C3273D" w:rsidP="007E5527">
      <w:pPr>
        <w:spacing w:after="0" w:line="240" w:lineRule="auto"/>
      </w:pPr>
      <w:r>
        <w:separator/>
      </w:r>
    </w:p>
  </w:endnote>
  <w:endnote w:type="continuationSeparator" w:id="0">
    <w:p w:rsidR="00C3273D" w:rsidRDefault="00C3273D" w:rsidP="007E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3D" w:rsidRDefault="00C3273D" w:rsidP="007E5527">
      <w:pPr>
        <w:spacing w:after="0" w:line="240" w:lineRule="auto"/>
      </w:pPr>
      <w:r>
        <w:separator/>
      </w:r>
    </w:p>
  </w:footnote>
  <w:footnote w:type="continuationSeparator" w:id="0">
    <w:p w:rsidR="00C3273D" w:rsidRDefault="00C3273D" w:rsidP="007E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7" w:rsidRPr="00397E8D" w:rsidRDefault="007E5527" w:rsidP="007E5527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1312" behindDoc="0" locked="0" layoutInCell="1" allowOverlap="1" wp14:anchorId="319256CA" wp14:editId="5618531B">
          <wp:simplePos x="0" y="0"/>
          <wp:positionH relativeFrom="column">
            <wp:posOffset>-281940</wp:posOffset>
          </wp:positionH>
          <wp:positionV relativeFrom="paragraph">
            <wp:posOffset>-249555</wp:posOffset>
          </wp:positionV>
          <wp:extent cx="542925" cy="676275"/>
          <wp:effectExtent l="0" t="0" r="9525" b="9525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7E5527" w:rsidRPr="00397E8D" w:rsidRDefault="007E5527" w:rsidP="007E5527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7E5527" w:rsidRDefault="007E5527" w:rsidP="007E5527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3943E7" wp14:editId="52EEE349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7E5527" w:rsidRDefault="007E55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CBB"/>
    <w:multiLevelType w:val="hybridMultilevel"/>
    <w:tmpl w:val="13F28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27"/>
    <w:rsid w:val="00305694"/>
    <w:rsid w:val="003639C1"/>
    <w:rsid w:val="003C2433"/>
    <w:rsid w:val="00772518"/>
    <w:rsid w:val="007E5527"/>
    <w:rsid w:val="008F0D28"/>
    <w:rsid w:val="00A064BE"/>
    <w:rsid w:val="00AA1576"/>
    <w:rsid w:val="00C3273D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527"/>
  </w:style>
  <w:style w:type="paragraph" w:styleId="Piedepgina">
    <w:name w:val="footer"/>
    <w:basedOn w:val="Normal"/>
    <w:link w:val="PiedepginaCar"/>
    <w:uiPriority w:val="99"/>
    <w:unhideWhenUsed/>
    <w:rsid w:val="007E5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527"/>
  </w:style>
  <w:style w:type="table" w:styleId="Tablaconcuadrcula">
    <w:name w:val="Table Grid"/>
    <w:basedOn w:val="Tablanormal"/>
    <w:uiPriority w:val="59"/>
    <w:rsid w:val="007E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4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527"/>
  </w:style>
  <w:style w:type="paragraph" w:styleId="Piedepgina">
    <w:name w:val="footer"/>
    <w:basedOn w:val="Normal"/>
    <w:link w:val="PiedepginaCar"/>
    <w:uiPriority w:val="99"/>
    <w:unhideWhenUsed/>
    <w:rsid w:val="007E5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527"/>
  </w:style>
  <w:style w:type="table" w:styleId="Tablaconcuadrcula">
    <w:name w:val="Table Grid"/>
    <w:basedOn w:val="Tablanormal"/>
    <w:uiPriority w:val="59"/>
    <w:rsid w:val="007E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4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6</cp:revision>
  <dcterms:created xsi:type="dcterms:W3CDTF">2020-04-02T18:59:00Z</dcterms:created>
  <dcterms:modified xsi:type="dcterms:W3CDTF">2020-04-03T14:41:00Z</dcterms:modified>
</cp:coreProperties>
</file>